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6B" w:rsidRDefault="00CD026B" w:rsidP="00CD026B">
      <w:pPr>
        <w:ind w:left="-851" w:firstLine="851"/>
        <w:jc w:val="both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kk-KZ"/>
        </w:rPr>
      </w:pPr>
      <w:proofErr w:type="spellStart"/>
      <w:r w:rsidRPr="00CD026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Халықаралық</w:t>
      </w:r>
      <w:proofErr w:type="spellEnd"/>
      <w:r w:rsidRPr="00CD026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оқушы</w:t>
      </w:r>
      <w:proofErr w:type="spellEnd"/>
      <w:r w:rsidRPr="00CD026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қабілетін</w:t>
      </w:r>
      <w:proofErr w:type="spellEnd"/>
      <w:r w:rsidRPr="00CD026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D026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ба</w:t>
      </w:r>
      <w:proofErr w:type="gramEnd"/>
      <w:r w:rsidRPr="00CD026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ғалау</w:t>
      </w:r>
      <w:proofErr w:type="spellEnd"/>
      <w:r w:rsidRPr="00CD026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бағдарламасы</w:t>
      </w:r>
      <w:proofErr w:type="spellEnd"/>
    </w:p>
    <w:p w:rsidR="00CD026B" w:rsidRPr="00CD026B" w:rsidRDefault="00CD026B" w:rsidP="00CD026B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gram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(</w:t>
      </w:r>
      <w:proofErr w:type="spellStart"/>
      <w:r w:rsidRPr="00CD026B">
        <w:rPr>
          <w:rFonts w:ascii="Times New Roman" w:hAnsi="Times New Roman" w:cs="Times New Roman"/>
          <w:sz w:val="28"/>
          <w:szCs w:val="28"/>
        </w:rPr>
        <w:fldChar w:fldCharType="begin"/>
      </w:r>
      <w:r w:rsidRPr="00CD026B">
        <w:rPr>
          <w:rFonts w:ascii="Times New Roman" w:hAnsi="Times New Roman" w:cs="Times New Roman"/>
          <w:sz w:val="28"/>
          <w:szCs w:val="28"/>
        </w:rPr>
        <w:instrText xml:space="preserve"> HYPERLINK "https://kk.wikipedia.org/wiki/%D0%90%D2%93%D1%8B%D0%BB%D1%88%D1%8B%D0%BD_%D1%82%D1%96%D0%BB%D1%96" \o "Ағылшын тілі" </w:instrText>
      </w:r>
      <w:r w:rsidRPr="00CD026B">
        <w:rPr>
          <w:rFonts w:ascii="Times New Roman" w:hAnsi="Times New Roman" w:cs="Times New Roman"/>
          <w:sz w:val="28"/>
          <w:szCs w:val="28"/>
        </w:rPr>
        <w:fldChar w:fldCharType="separate"/>
      </w:r>
      <w:r w:rsidRPr="00CD026B">
        <w:rPr>
          <w:rStyle w:val="a3"/>
          <w:rFonts w:ascii="Times New Roman" w:hAnsi="Times New Roman" w:cs="Times New Roman"/>
          <w:color w:val="0645AD"/>
          <w:sz w:val="28"/>
          <w:szCs w:val="28"/>
          <w:u w:val="none"/>
          <w:shd w:val="clear" w:color="auto" w:fill="FFFFFF"/>
        </w:rPr>
        <w:t>ағылш</w:t>
      </w:r>
      <w:proofErr w:type="spellEnd"/>
      <w:r w:rsidRPr="00CD026B">
        <w:rPr>
          <w:rStyle w:val="a3"/>
          <w:rFonts w:ascii="Times New Roman" w:hAnsi="Times New Roman" w:cs="Times New Roman"/>
          <w:color w:val="0645AD"/>
          <w:sz w:val="28"/>
          <w:szCs w:val="28"/>
          <w:u w:val="none"/>
          <w:shd w:val="clear" w:color="auto" w:fill="FFFFFF"/>
        </w:rPr>
        <w:t>.</w:t>
      </w:r>
      <w:proofErr w:type="gramEnd"/>
      <w:r w:rsidRPr="00CD026B">
        <w:rPr>
          <w:rFonts w:ascii="Times New Roman" w:hAnsi="Times New Roman" w:cs="Times New Roman"/>
          <w:sz w:val="28"/>
          <w:szCs w:val="28"/>
        </w:rPr>
        <w:fldChar w:fldCharType="end"/>
      </w:r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CD026B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"/>
        </w:rPr>
        <w:t>Programme</w:t>
      </w:r>
      <w:proofErr w:type="spellEnd"/>
      <w:r w:rsidRPr="00CD026B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r w:rsidRPr="00CD026B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"/>
        </w:rPr>
        <w:t>for</w:t>
      </w:r>
      <w:r w:rsidRPr="00CD026B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r w:rsidRPr="00CD026B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"/>
        </w:rPr>
        <w:t>International</w:t>
      </w:r>
      <w:r w:rsidRPr="00CD026B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r w:rsidRPr="00CD026B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"/>
        </w:rPr>
        <w:t>Student</w:t>
      </w:r>
      <w:r w:rsidRPr="00CD026B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 xml:space="preserve"> </w:t>
      </w:r>
      <w:r w:rsidRPr="00CD026B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"/>
        </w:rPr>
        <w:t>Assessment</w:t>
      </w:r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 </w:t>
      </w:r>
      <w:hyperlink r:id="rId6" w:tooltip="Француз тілі" w:history="1">
        <w:r w:rsidRPr="00CD026B">
          <w:rPr>
            <w:rStyle w:val="a3"/>
            <w:rFonts w:ascii="Times New Roman" w:hAnsi="Times New Roman" w:cs="Times New Roman"/>
            <w:color w:val="0645AD"/>
            <w:sz w:val="28"/>
            <w:szCs w:val="28"/>
            <w:u w:val="none"/>
            <w:shd w:val="clear" w:color="auto" w:fill="FFFFFF"/>
          </w:rPr>
          <w:t>фр.</w:t>
        </w:r>
      </w:hyperlink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CD026B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fr-FR"/>
        </w:rPr>
        <w:t>Programme international pour le suivi des acquis des élèves</w:t>
      </w:r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қысқаша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PISA) — </w:t>
      </w:r>
      <w:proofErr w:type="spellStart"/>
      <w:r w:rsidRPr="00CD026B">
        <w:rPr>
          <w:rFonts w:ascii="Times New Roman" w:hAnsi="Times New Roman" w:cs="Times New Roman"/>
          <w:sz w:val="28"/>
          <w:szCs w:val="28"/>
        </w:rPr>
        <w:fldChar w:fldCharType="begin"/>
      </w:r>
      <w:r w:rsidRPr="00CD026B">
        <w:rPr>
          <w:rFonts w:ascii="Times New Roman" w:hAnsi="Times New Roman" w:cs="Times New Roman"/>
          <w:sz w:val="28"/>
          <w:szCs w:val="28"/>
        </w:rPr>
        <w:instrText xml:space="preserve"> HYPERLINK "https://kk.wikipedia.org/wiki/%D0%AD%D0%BA%D0%BE%D0%BD%D0%BE%D0%BC%D0%B8%D0%BA%D0%B0%D0%BB%D1%8B%D2%9B_%D1%8B%D0%BD%D1%82%D1%8B%D0%BC%D0%B0%D2%9B%D1%82%D0%B0%D1%81%D1%82%D1%8B%D2%9B_%D0%B6%D3%99%D0%BD%D0%B5_%D0%B4%D0%B0%D0%BC%D1%83_%D2%B1%D0%B9%D1%8B%D0%BC%D1%8B" \o "Экономикалық ынтымақтастық және даму ұйымы" </w:instrText>
      </w:r>
      <w:r w:rsidRPr="00CD026B">
        <w:rPr>
          <w:rFonts w:ascii="Times New Roman" w:hAnsi="Times New Roman" w:cs="Times New Roman"/>
          <w:sz w:val="28"/>
          <w:szCs w:val="28"/>
        </w:rPr>
        <w:fldChar w:fldCharType="separate"/>
      </w:r>
      <w:r w:rsidRPr="00CD026B">
        <w:rPr>
          <w:rStyle w:val="a3"/>
          <w:rFonts w:ascii="Times New Roman" w:hAnsi="Times New Roman" w:cs="Times New Roman"/>
          <w:color w:val="0645AD"/>
          <w:sz w:val="28"/>
          <w:szCs w:val="28"/>
          <w:u w:val="none"/>
          <w:shd w:val="clear" w:color="auto" w:fill="FFFFFF"/>
        </w:rPr>
        <w:t>Экономикалық</w:t>
      </w:r>
      <w:proofErr w:type="spellEnd"/>
      <w:r w:rsidRPr="00CD026B">
        <w:rPr>
          <w:rStyle w:val="a3"/>
          <w:rFonts w:ascii="Times New Roman" w:hAnsi="Times New Roman" w:cs="Times New Roman"/>
          <w:color w:val="0645AD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D026B">
        <w:rPr>
          <w:rStyle w:val="a3"/>
          <w:rFonts w:ascii="Times New Roman" w:hAnsi="Times New Roman" w:cs="Times New Roman"/>
          <w:color w:val="0645AD"/>
          <w:sz w:val="28"/>
          <w:szCs w:val="28"/>
          <w:u w:val="none"/>
          <w:shd w:val="clear" w:color="auto" w:fill="FFFFFF"/>
        </w:rPr>
        <w:t>ынтымақтастық</w:t>
      </w:r>
      <w:proofErr w:type="spellEnd"/>
      <w:r w:rsidRPr="00CD026B">
        <w:rPr>
          <w:rStyle w:val="a3"/>
          <w:rFonts w:ascii="Times New Roman" w:hAnsi="Times New Roman" w:cs="Times New Roman"/>
          <w:color w:val="0645AD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D026B">
        <w:rPr>
          <w:rStyle w:val="a3"/>
          <w:rFonts w:ascii="Times New Roman" w:hAnsi="Times New Roman" w:cs="Times New Roman"/>
          <w:color w:val="0645AD"/>
          <w:sz w:val="28"/>
          <w:szCs w:val="28"/>
          <w:u w:val="none"/>
          <w:shd w:val="clear" w:color="auto" w:fill="FFFFFF"/>
        </w:rPr>
        <w:t>және</w:t>
      </w:r>
      <w:proofErr w:type="spellEnd"/>
      <w:r w:rsidRPr="00CD026B">
        <w:rPr>
          <w:rStyle w:val="a3"/>
          <w:rFonts w:ascii="Times New Roman" w:hAnsi="Times New Roman" w:cs="Times New Roman"/>
          <w:color w:val="0645AD"/>
          <w:sz w:val="28"/>
          <w:szCs w:val="28"/>
          <w:u w:val="none"/>
          <w:shd w:val="clear" w:color="auto" w:fill="FFFFFF"/>
        </w:rPr>
        <w:t xml:space="preserve"> даму </w:t>
      </w:r>
      <w:proofErr w:type="spellStart"/>
      <w:r w:rsidRPr="00CD026B">
        <w:rPr>
          <w:rStyle w:val="a3"/>
          <w:rFonts w:ascii="Times New Roman" w:hAnsi="Times New Roman" w:cs="Times New Roman"/>
          <w:color w:val="0645AD"/>
          <w:sz w:val="28"/>
          <w:szCs w:val="28"/>
          <w:u w:val="none"/>
          <w:shd w:val="clear" w:color="auto" w:fill="FFFFFF"/>
        </w:rPr>
        <w:t>ұйымы</w:t>
      </w:r>
      <w:proofErr w:type="spellEnd"/>
      <w:r w:rsidRPr="00CD026B">
        <w:rPr>
          <w:rFonts w:ascii="Times New Roman" w:hAnsi="Times New Roman" w:cs="Times New Roman"/>
          <w:sz w:val="28"/>
          <w:szCs w:val="28"/>
        </w:rPr>
        <w:fldChar w:fldCharType="end"/>
      </w:r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 (ЭЫДҰ) 2000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жылдардан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бері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үш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жылда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бір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ұйымдастыратын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әлем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елдері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арасында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15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жастағы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оқушылардың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функционалдық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сауаттылығын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тексеру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мен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бағалаудың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халықаралық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бағдарламасы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  <w:hyperlink r:id="rId7" w:anchor="cite_note-1" w:history="1">
        <w:r w:rsidRPr="00CD026B">
          <w:rPr>
            <w:rStyle w:val="a3"/>
            <w:rFonts w:ascii="Times New Roman" w:hAnsi="Times New Roman" w:cs="Times New Roman"/>
            <w:color w:val="0645AD"/>
            <w:sz w:val="28"/>
            <w:szCs w:val="28"/>
            <w:u w:val="none"/>
            <w:shd w:val="clear" w:color="auto" w:fill="FFFFFF"/>
            <w:vertAlign w:val="superscript"/>
          </w:rPr>
          <w:t>[]</w:t>
        </w:r>
      </w:hyperlink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 PISA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бағдарламасының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мақсаты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бі</w:t>
      </w:r>
      <w:proofErr w:type="gram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л</w:t>
      </w:r>
      <w:proofErr w:type="gram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ім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берудің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әдіснамасы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мен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нәтижесіне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пайдалы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әсер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ету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болатын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Аталған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ба</w:t>
      </w:r>
      <w:proofErr w:type="gram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ғдарлама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қазіргі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әлемде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оқушылар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қабілетін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тексеру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мен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бағалаудың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ең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ықпалды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жобасы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болып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отыр</w:t>
      </w:r>
      <w:proofErr w:type="spellEnd"/>
      <w:r w:rsidRPr="00CD02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CD026B" w:rsidRPr="00CD026B" w:rsidRDefault="00CD026B" w:rsidP="00CD026B">
      <w:pPr>
        <w:pBdr>
          <w:bottom w:val="single" w:sz="6" w:space="0" w:color="A2A9B1"/>
        </w:pBdr>
        <w:shd w:val="clear" w:color="auto" w:fill="FFFFFF"/>
        <w:spacing w:before="240" w:after="60"/>
        <w:ind w:left="-851" w:firstLine="851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proofErr w:type="spellStart"/>
      <w:r w:rsidRPr="00CD0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Тексеру</w:t>
      </w:r>
      <w:proofErr w:type="spellEnd"/>
      <w:r w:rsidRPr="00CD0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жүйесі</w:t>
      </w:r>
      <w:proofErr w:type="spellEnd"/>
      <w:r w:rsidRPr="00CD026B">
        <w:rPr>
          <w:rFonts w:ascii="Times New Roman" w:eastAsia="Times New Roman" w:hAnsi="Times New Roman" w:cs="Times New Roman"/>
          <w:b/>
          <w:color w:val="54595D"/>
          <w:sz w:val="28"/>
          <w:szCs w:val="28"/>
          <w:lang w:val="kk-KZ" w:eastAsia="ru-RU"/>
        </w:rPr>
        <w:t xml:space="preserve"> </w:t>
      </w:r>
    </w:p>
    <w:p w:rsidR="00CD026B" w:rsidRPr="00CD026B" w:rsidRDefault="00CD026B" w:rsidP="00CD026B">
      <w:pPr>
        <w:shd w:val="clear" w:color="auto" w:fill="FFFFFF"/>
        <w:spacing w:before="120" w:after="120"/>
        <w:ind w:left="-851" w:firstLine="851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PISA жобасы тексерудің үш бағытының (</w:t>
      </w:r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fldChar w:fldCharType="begin"/>
      </w:r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instrText xml:space="preserve"> HYPERLINK "https://kk.wikipedia.org/w/index.php?title=%D0%9C%D0%B0%D1%82%D0%B5%D0%BC%D1%82%D0%B0%D0%B8%D0%BA%D0%B0&amp;action=edit&amp;redlink=1" \o "Матемтаика (мұндай бет жоқ)" </w:instrText>
      </w:r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fldChar w:fldCharType="separate"/>
      </w:r>
      <w:r w:rsidRPr="00CD026B">
        <w:rPr>
          <w:rFonts w:ascii="Times New Roman" w:eastAsia="Times New Roman" w:hAnsi="Times New Roman" w:cs="Times New Roman"/>
          <w:color w:val="BA0000"/>
          <w:sz w:val="28"/>
          <w:szCs w:val="28"/>
          <w:u w:val="single"/>
          <w:lang w:val="kk-KZ" w:eastAsia="ru-RU"/>
        </w:rPr>
        <w:t>матем</w:t>
      </w:r>
      <w:r>
        <w:rPr>
          <w:rFonts w:ascii="Times New Roman" w:eastAsia="Times New Roman" w:hAnsi="Times New Roman" w:cs="Times New Roman"/>
          <w:color w:val="BA0000"/>
          <w:sz w:val="28"/>
          <w:szCs w:val="28"/>
          <w:u w:val="single"/>
          <w:lang w:val="kk-KZ" w:eastAsia="ru-RU"/>
        </w:rPr>
        <w:t>а</w:t>
      </w:r>
      <w:r w:rsidRPr="00CD026B">
        <w:rPr>
          <w:rFonts w:ascii="Times New Roman" w:eastAsia="Times New Roman" w:hAnsi="Times New Roman" w:cs="Times New Roman"/>
          <w:color w:val="BA0000"/>
          <w:sz w:val="28"/>
          <w:szCs w:val="28"/>
          <w:u w:val="single"/>
          <w:lang w:val="kk-KZ" w:eastAsia="ru-RU"/>
        </w:rPr>
        <w:t>тика</w:t>
      </w:r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fldChar w:fldCharType="end"/>
      </w:r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, </w:t>
      </w:r>
      <w:hyperlink r:id="rId8" w:tooltip="Ғылым" w:history="1">
        <w:r w:rsidRPr="00CD026B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kk-KZ" w:eastAsia="ru-RU"/>
          </w:rPr>
          <w:t>ғылым</w:t>
        </w:r>
      </w:hyperlink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, </w:t>
      </w:r>
      <w:hyperlink r:id="rId9" w:tooltip="Оқу" w:history="1">
        <w:r w:rsidRPr="00CD026B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kk-KZ" w:eastAsia="ru-RU"/>
          </w:rPr>
          <w:t>оқу</w:t>
        </w:r>
      </w:hyperlink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 xml:space="preserve">) біріне айырықша мән беріп, үш жылдық кезеңмен жүргізіледі. </w:t>
      </w:r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2012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жылы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негізгі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бағыт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«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математикалық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сауаттылық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»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болды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CD026B" w:rsidRPr="00CD026B" w:rsidRDefault="00CD026B" w:rsidP="00CD026B">
      <w:pPr>
        <w:shd w:val="clear" w:color="auto" w:fill="FFFFFF"/>
        <w:spacing w:before="120" w:after="120"/>
        <w:ind w:left="-851" w:firstLine="851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PISA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зерттеуі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15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жастағы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оқушылардың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мектепте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алған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академиялық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білімі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мен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тұрмыс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үйрену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дағдысын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тексері</w:t>
      </w:r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</w:t>
      </w:r>
      <w:proofErr w:type="spellEnd"/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өз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білімі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мен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қабілетін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түрлі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өмірлік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жағдайлар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мен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әлеуметік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ауқымда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тиімді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қолдану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қабілетін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анықтауға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бағытталған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CD026B" w:rsidRPr="00CD026B" w:rsidRDefault="00CD026B" w:rsidP="00CD026B">
      <w:pPr>
        <w:pBdr>
          <w:bottom w:val="single" w:sz="6" w:space="0" w:color="A2A9B1"/>
        </w:pBdr>
        <w:shd w:val="clear" w:color="auto" w:fill="FFFFFF"/>
        <w:spacing w:before="240" w:after="60"/>
        <w:ind w:left="-851" w:firstLine="851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proofErr w:type="spellStart"/>
      <w:r w:rsidRPr="00CD0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Қойылатын</w:t>
      </w:r>
      <w:proofErr w:type="spellEnd"/>
      <w:r w:rsidRPr="00CD0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және</w:t>
      </w:r>
      <w:proofErr w:type="spellEnd"/>
      <w:r w:rsidRPr="00CD0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көзделетін</w:t>
      </w:r>
      <w:proofErr w:type="spellEnd"/>
      <w:r w:rsidRPr="00CD0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талаптар</w:t>
      </w:r>
      <w:proofErr w:type="spellEnd"/>
      <w:r w:rsidRPr="00CD026B">
        <w:rPr>
          <w:rFonts w:ascii="Times New Roman" w:eastAsia="Times New Roman" w:hAnsi="Times New Roman" w:cs="Times New Roman"/>
          <w:b/>
          <w:color w:val="54595D"/>
          <w:sz w:val="28"/>
          <w:szCs w:val="28"/>
          <w:lang w:val="kk-KZ" w:eastAsia="ru-RU"/>
        </w:rPr>
        <w:t xml:space="preserve"> </w:t>
      </w:r>
    </w:p>
    <w:p w:rsidR="00CD026B" w:rsidRPr="00CD026B" w:rsidRDefault="00CD026B" w:rsidP="00CD026B">
      <w:pPr>
        <w:shd w:val="clear" w:color="auto" w:fill="FFFFFF"/>
        <w:spacing w:before="120" w:after="120"/>
        <w:ind w:left="-851" w:firstLine="851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PISA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жобасының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оқушылардың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функционалдық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сауаттылығын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бағалау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басыңқылығы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үш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бағыт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бойынша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жүреді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Олар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Pr="00CD026B">
        <w:rPr>
          <w:rFonts w:ascii="Times New Roman" w:eastAsia="Times New Roman" w:hAnsi="Times New Roman" w:cs="Times New Roman"/>
          <w:b/>
          <w:bCs/>
          <w:i/>
          <w:iCs/>
          <w:color w:val="202122"/>
          <w:sz w:val="28"/>
          <w:szCs w:val="28"/>
          <w:lang w:eastAsia="ru-RU"/>
        </w:rPr>
        <w:t>оқу</w:t>
      </w:r>
      <w:proofErr w:type="spellEnd"/>
      <w:r w:rsidRPr="00CD026B">
        <w:rPr>
          <w:rFonts w:ascii="Times New Roman" w:eastAsia="Times New Roman" w:hAnsi="Times New Roman" w:cs="Times New Roman"/>
          <w:b/>
          <w:bCs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b/>
          <w:bCs/>
          <w:i/>
          <w:iCs/>
          <w:color w:val="202122"/>
          <w:sz w:val="28"/>
          <w:szCs w:val="28"/>
          <w:lang w:eastAsia="ru-RU"/>
        </w:rPr>
        <w:t>біліктілігі</w:t>
      </w:r>
      <w:proofErr w:type="spellEnd"/>
      <w:r w:rsidRPr="00CD026B">
        <w:rPr>
          <w:rFonts w:ascii="Times New Roman" w:eastAsia="Times New Roman" w:hAnsi="Times New Roman" w:cs="Times New Roman"/>
          <w:b/>
          <w:bCs/>
          <w:i/>
          <w:iCs/>
          <w:color w:val="202122"/>
          <w:sz w:val="28"/>
          <w:szCs w:val="28"/>
          <w:lang w:eastAsia="ru-RU"/>
        </w:rPr>
        <w:t>, математика</w:t>
      </w:r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және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Pr="00CD026B">
        <w:rPr>
          <w:rFonts w:ascii="Times New Roman" w:eastAsia="Times New Roman" w:hAnsi="Times New Roman" w:cs="Times New Roman"/>
          <w:b/>
          <w:bCs/>
          <w:i/>
          <w:iCs/>
          <w:color w:val="202122"/>
          <w:sz w:val="28"/>
          <w:szCs w:val="28"/>
          <w:lang w:eastAsia="ru-RU"/>
        </w:rPr>
        <w:t>жаратылыстану</w:t>
      </w:r>
      <w:proofErr w:type="spellEnd"/>
      <w:r w:rsidRPr="00CD026B">
        <w:rPr>
          <w:rFonts w:ascii="Times New Roman" w:eastAsia="Times New Roman" w:hAnsi="Times New Roman" w:cs="Times New Roman"/>
          <w:b/>
          <w:bCs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b/>
          <w:bCs/>
          <w:i/>
          <w:iCs/>
          <w:color w:val="202122"/>
          <w:sz w:val="28"/>
          <w:szCs w:val="28"/>
          <w:lang w:eastAsia="ru-RU"/>
        </w:rPr>
        <w:t>ғылымдарындағы</w:t>
      </w:r>
      <w:proofErr w:type="spellEnd"/>
      <w:r w:rsidRPr="00CD026B">
        <w:rPr>
          <w:rFonts w:ascii="Times New Roman" w:eastAsia="Times New Roman" w:hAnsi="Times New Roman" w:cs="Times New Roman"/>
          <w:b/>
          <w:bCs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b/>
          <w:bCs/>
          <w:i/>
          <w:iCs/>
          <w:color w:val="202122"/>
          <w:sz w:val="28"/>
          <w:szCs w:val="28"/>
          <w:lang w:eastAsia="ru-RU"/>
        </w:rPr>
        <w:t>біліктілік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  <w:r w:rsidRPr="00CD026B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  <w:vertAlign w:val="superscript"/>
          <w:lang w:eastAsia="ru-RU"/>
        </w:rPr>
        <w:t>]</w:t>
      </w:r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PISA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зерттеуінде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ойлау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дәйектеу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мәселе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(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сұрақ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)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қоя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білу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және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шеше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білу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модельдеу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нәтижелерді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ұсынудың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т</w:t>
      </w:r>
      <w:proofErr w:type="gram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үрлі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әдістерін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пайдалану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секілді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қабілеттер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</w:t>
      </w:r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ғаланады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Осылайша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халықаралық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емтиханға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қатысушылардың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оқу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біліктілігі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әрекеттің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үш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оқу-танымдық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тү</w:t>
      </w:r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бойынша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анықталады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Олар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жаңарту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қолдану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және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пайдалану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</w:p>
    <w:p w:rsidR="00CD026B" w:rsidRPr="00CD026B" w:rsidRDefault="00CD026B" w:rsidP="00CD026B">
      <w:pPr>
        <w:shd w:val="clear" w:color="auto" w:fill="FFFFFF"/>
        <w:spacing w:before="120" w:after="120"/>
        <w:ind w:left="-851" w:firstLine="851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Зерттеудің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үш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бағыты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бойынша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оқушылар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сауаттылығын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бағалау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технологиясы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- PISA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жобасы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қатысушылардың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алған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білімін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қаншалықты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hyperlink r:id="rId10" w:tooltip="Экстраполяция" w:history="1">
        <w:r w:rsidRPr="00CD026B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экстраполяция</w:t>
        </w:r>
      </w:hyperlink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(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құбылыстың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</w:t>
      </w:r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spellEnd"/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бөлігін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байқаудан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алғна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қорытындыларды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оның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екінші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бөлігінде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қолдануға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саятын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ғылыми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зерттеу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әдіснамасы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)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жасап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оларды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мектептен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тыс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қолдана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алатынын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мәселелер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туралы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дербес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ой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жүгірті</w:t>
      </w:r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</w:t>
      </w:r>
      <w:proofErr w:type="spellEnd"/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өзіндің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таңдау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жасай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алуын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анықтауға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мүмкіндік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туғызады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Осы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тұ</w:t>
      </w:r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ғы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заманауи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экономикалық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тұрмыста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академиялық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білімді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жоғары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кәсіби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деңгейде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қолданатын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қоғамды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қолдайтыны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туралы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айғақты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көрсетеді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CD026B" w:rsidRPr="00CD026B" w:rsidRDefault="00CD026B" w:rsidP="00CD026B">
      <w:pPr>
        <w:pBdr>
          <w:bottom w:val="single" w:sz="6" w:space="0" w:color="A2A9B1"/>
        </w:pBdr>
        <w:shd w:val="clear" w:color="auto" w:fill="FFFFFF"/>
        <w:spacing w:before="240" w:after="60"/>
        <w:ind w:left="-851" w:firstLine="851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proofErr w:type="spellStart"/>
      <w:r w:rsidRPr="00CD0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Анықталатын</w:t>
      </w:r>
      <w:proofErr w:type="spellEnd"/>
      <w:r w:rsidRPr="00CD0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деңгейлер</w:t>
      </w:r>
      <w:proofErr w:type="spellEnd"/>
      <w:r w:rsidRPr="00CD026B">
        <w:rPr>
          <w:rFonts w:ascii="Times New Roman" w:eastAsia="Times New Roman" w:hAnsi="Times New Roman" w:cs="Times New Roman"/>
          <w:b/>
          <w:color w:val="54595D"/>
          <w:sz w:val="28"/>
          <w:szCs w:val="28"/>
          <w:lang w:val="kk-KZ" w:eastAsia="ru-RU"/>
        </w:rPr>
        <w:t xml:space="preserve"> </w:t>
      </w:r>
    </w:p>
    <w:p w:rsidR="00CD026B" w:rsidRPr="00CD026B" w:rsidRDefault="00CD026B" w:rsidP="00CD026B">
      <w:pPr>
        <w:shd w:val="clear" w:color="auto" w:fill="FFFFFF"/>
        <w:spacing w:before="120" w:after="120"/>
        <w:ind w:left="-851" w:firstLine="851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Функционалды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сауаттылықты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</w:t>
      </w:r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ғалау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технологиясы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әлемдегі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60-тан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астам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елдің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15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жастағы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оқушыларын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алты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деңгейде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анықтайды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жоғарғы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көрсеткіш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5-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>және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6-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деңгей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Ол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бойынша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оқушы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өз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бетінше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ойлау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талдау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және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өз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болжамын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ұсыну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қабілеті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Сосын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4-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және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3-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деңгей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: 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жаңа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а</w:t>
      </w:r>
      <w:proofErr w:type="gram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қпарат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алу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үшін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бар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білімі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мен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қабілетін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қолдану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мүмкіндігі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Сосын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2-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деңгей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: 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қарапайым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оқудан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тыс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жағдайда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бар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білімі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мен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дағдыларын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қолдану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мүмкіндігі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Сосын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1-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деңгей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: 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таяз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білімнің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төмендігі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деңгейі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мен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тапсырмаларды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табысты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орындаудың</w:t>
      </w:r>
      <w:proofErr w:type="spellEnd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аздығы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CD026B" w:rsidRPr="00CD026B" w:rsidRDefault="00CD026B" w:rsidP="00CD026B">
      <w:pPr>
        <w:shd w:val="clear" w:color="auto" w:fill="FFFFFF"/>
        <w:spacing w:before="120" w:after="120"/>
        <w:ind w:left="-851" w:firstLine="851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Зерттеудің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барлық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үш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бағыты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бойынша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қабілеттілік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жиынтығы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мен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білімді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қолдану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мүмкіндігіне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қойылатын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</w:t>
      </w:r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</w:t>
      </w:r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ты</w:t>
      </w:r>
      <w:proofErr w:type="spellEnd"/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талаптар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анықталған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Демек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PISA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жобасы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оқушыны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сыни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</w:t>
      </w:r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ғалау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мен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сындарлы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ойлау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моделіне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жетелейді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CD026B" w:rsidRPr="00CD026B" w:rsidRDefault="00CD026B" w:rsidP="00CD026B">
      <w:pPr>
        <w:pBdr>
          <w:bottom w:val="single" w:sz="6" w:space="0" w:color="A2A9B1"/>
        </w:pBdr>
        <w:shd w:val="clear" w:color="auto" w:fill="FFFFFF"/>
        <w:spacing w:before="240" w:after="60"/>
        <w:ind w:left="-851" w:firstLine="851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proofErr w:type="spellStart"/>
      <w:r w:rsidRPr="00CD0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Маңызы</w:t>
      </w:r>
      <w:proofErr w:type="spellEnd"/>
      <w:r w:rsidRPr="00CD026B">
        <w:rPr>
          <w:rFonts w:ascii="Times New Roman" w:eastAsia="Times New Roman" w:hAnsi="Times New Roman" w:cs="Times New Roman"/>
          <w:b/>
          <w:color w:val="54595D"/>
          <w:sz w:val="28"/>
          <w:szCs w:val="28"/>
          <w:lang w:val="kk-KZ" w:eastAsia="ru-RU"/>
        </w:rPr>
        <w:t xml:space="preserve"> </w:t>
      </w:r>
    </w:p>
    <w:p w:rsidR="00CD026B" w:rsidRPr="00CD026B" w:rsidRDefault="00CD026B" w:rsidP="00CD026B">
      <w:pPr>
        <w:shd w:val="clear" w:color="auto" w:fill="FFFFFF"/>
        <w:spacing w:before="120" w:after="120"/>
        <w:ind w:left="-851" w:firstLine="851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PISA-2012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халықаралық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зерттеуінің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мәліметтері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15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жастағы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қатысушының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функционалдық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дайындық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деңгейін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салыстыруға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мүмкіндік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бері</w:t>
      </w:r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</w:t>
      </w:r>
      <w:proofErr w:type="spellEnd"/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қоймай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нақты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факторлардың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оқыту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тиімділігіне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тигізетін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әсерін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анықтауға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да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мүмкіндік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береді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Зерттеу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тест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тапсырмаларын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орындау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табыстылығы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қосымша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фондық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ақпаратпен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бірге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жүреді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Тек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оқушыларға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ғана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емес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сонымен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бірге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білім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беру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ұйымының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әкімшілігіне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де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сауалнама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жүргізу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PISA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жобасына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қатысушылардың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жеті</w:t>
      </w:r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ст</w:t>
      </w:r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іктеріндегі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өзгешелікті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түсіндіруге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мүмкіндік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береді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</w:p>
    <w:p w:rsidR="00CD026B" w:rsidRPr="00CD026B" w:rsidRDefault="00CD026B" w:rsidP="00CD026B">
      <w:pPr>
        <w:pBdr>
          <w:bottom w:val="single" w:sz="6" w:space="0" w:color="A2A9B1"/>
        </w:pBdr>
        <w:shd w:val="clear" w:color="auto" w:fill="FFFFFF"/>
        <w:spacing w:before="240" w:after="60"/>
        <w:ind w:left="-851" w:firstLine="851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bookmarkStart w:id="0" w:name="_GoBack"/>
      <w:bookmarkEnd w:id="0"/>
      <w:proofErr w:type="spellStart"/>
      <w:r w:rsidRPr="00CD0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Қатысушылар</w:t>
      </w:r>
      <w:proofErr w:type="spellEnd"/>
      <w:r w:rsidRPr="00CD026B">
        <w:rPr>
          <w:rFonts w:ascii="Times New Roman" w:eastAsia="Times New Roman" w:hAnsi="Times New Roman" w:cs="Times New Roman"/>
          <w:b/>
          <w:color w:val="54595D"/>
          <w:sz w:val="28"/>
          <w:szCs w:val="28"/>
          <w:lang w:val="kk-KZ" w:eastAsia="ru-RU"/>
        </w:rPr>
        <w:t xml:space="preserve"> </w:t>
      </w:r>
    </w:p>
    <w:p w:rsidR="00CD026B" w:rsidRPr="00CD026B" w:rsidRDefault="00CD026B" w:rsidP="00CD026B">
      <w:pPr>
        <w:shd w:val="clear" w:color="auto" w:fill="FFFFFF"/>
        <w:spacing w:before="120" w:after="120"/>
        <w:ind w:left="-851" w:firstLine="851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Бағ</w:t>
      </w:r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алау</w:t>
      </w:r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ға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қатысатын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баланың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жасы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15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жас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3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айдан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– 16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жас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2 ай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аралығында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болуы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шарт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етіледі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Нешінші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сынып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оқығаны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маңызды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емес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Сондай-ақ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оқушылар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өз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үйінде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емес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міндетті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түрде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академиялық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білім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беру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орталығында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(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мектепте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)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оқитын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болуы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шарт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Әрине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ә</w:t>
      </w:r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spellEnd"/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елдің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халық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саны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түрліше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болғандықтан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бағалау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қорытындысына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белгілі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бір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қосымша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факторлар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әсер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ететіні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белгілі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CD026B" w:rsidRPr="00CD026B" w:rsidRDefault="00CD026B" w:rsidP="00CD026B">
      <w:pPr>
        <w:pBdr>
          <w:bottom w:val="single" w:sz="6" w:space="0" w:color="A2A9B1"/>
        </w:pBdr>
        <w:shd w:val="clear" w:color="auto" w:fill="FFFFFF"/>
        <w:spacing w:before="240" w:after="60"/>
        <w:ind w:left="-851" w:firstLine="851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proofErr w:type="spellStart"/>
      <w:r w:rsidRPr="00CD0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Өлшеу</w:t>
      </w:r>
      <w:proofErr w:type="spellEnd"/>
      <w:r w:rsidRPr="00CD026B">
        <w:rPr>
          <w:rFonts w:ascii="Times New Roman" w:eastAsia="Times New Roman" w:hAnsi="Times New Roman" w:cs="Times New Roman"/>
          <w:b/>
          <w:color w:val="54595D"/>
          <w:sz w:val="28"/>
          <w:szCs w:val="28"/>
          <w:lang w:val="kk-KZ" w:eastAsia="ru-RU"/>
        </w:rPr>
        <w:t xml:space="preserve"> </w:t>
      </w:r>
    </w:p>
    <w:p w:rsidR="00CD026B" w:rsidRPr="00CD026B" w:rsidRDefault="00CD026B" w:rsidP="00CD026B">
      <w:pPr>
        <w:shd w:val="clear" w:color="auto" w:fill="FFFFFF"/>
        <w:spacing w:before="120" w:after="120"/>
        <w:ind w:left="-851" w:firstLine="851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Ә</w:t>
      </w:r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spellEnd"/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оқушыға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2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сағаттық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жазбаша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тапсырма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орындатады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Сұрақтардың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</w:t>
      </w:r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spellEnd"/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бөлігі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таңдау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сұрақтары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енді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бір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бөлігі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толық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жауап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беру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сұрақтары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болады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Бүкіл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тест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мазмұнына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6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жарым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сағат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уақыт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кетеді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деп</w:t>
      </w:r>
      <w:proofErr w:type="spellEnd"/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жоспарланған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Әрине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оқушыдан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барлық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сұраққа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түгел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жауап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беру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талап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етілмейді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оқушылар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қабілет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тестінен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өткен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соң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бір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сағат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шамасында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жеке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басын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негіз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еткен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өздік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сұрақтарға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жауап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береді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бүл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көбінесе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үйрену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ә</w:t>
      </w:r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дет</w:t>
      </w:r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ниеті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мен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жігері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отбасы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жағдайы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дегендей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мазмұндарды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қамтиды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Мектеп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тарапы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да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бірбөлім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сұрақ</w:t>
      </w:r>
      <w:proofErr w:type="gram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тар</w:t>
      </w:r>
      <w:proofErr w:type="gram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ға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жауап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береуі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керек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Олар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баланың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түрлі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нәтижелерін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қаржы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көзі</w:t>
      </w:r>
      <w:proofErr w:type="spellEnd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CD026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кілділерді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ай</w:t>
      </w:r>
      <w:proofErr w:type="gramEnd"/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қындап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беруі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.</w:t>
      </w:r>
    </w:p>
    <w:p w:rsidR="00CD026B" w:rsidRPr="00CD026B" w:rsidRDefault="00CD026B" w:rsidP="00CD026B">
      <w:pPr>
        <w:shd w:val="clear" w:color="auto" w:fill="FFFFFF"/>
        <w:spacing w:before="120" w:after="120" w:line="360" w:lineRule="auto"/>
        <w:ind w:left="-851" w:firstLine="851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CD026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sectPr w:rsidR="00CD026B" w:rsidRPr="00CD0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F63C1"/>
    <w:multiLevelType w:val="multilevel"/>
    <w:tmpl w:val="57E6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6B"/>
    <w:rsid w:val="00B421DE"/>
    <w:rsid w:val="00CD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02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02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02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D02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02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CD026B"/>
  </w:style>
  <w:style w:type="character" w:customStyle="1" w:styleId="mw-editsection">
    <w:name w:val="mw-editsection"/>
    <w:basedOn w:val="a0"/>
    <w:rsid w:val="00CD026B"/>
  </w:style>
  <w:style w:type="character" w:customStyle="1" w:styleId="mw-editsection-bracket">
    <w:name w:val="mw-editsection-bracket"/>
    <w:basedOn w:val="a0"/>
    <w:rsid w:val="00CD026B"/>
  </w:style>
  <w:style w:type="character" w:styleId="a4">
    <w:name w:val="FollowedHyperlink"/>
    <w:basedOn w:val="a0"/>
    <w:uiPriority w:val="99"/>
    <w:semiHidden/>
    <w:unhideWhenUsed/>
    <w:rsid w:val="00CD026B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CD026B"/>
  </w:style>
  <w:style w:type="paragraph" w:styleId="a5">
    <w:name w:val="Normal (Web)"/>
    <w:basedOn w:val="a"/>
    <w:uiPriority w:val="99"/>
    <w:semiHidden/>
    <w:unhideWhenUsed/>
    <w:rsid w:val="00CD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agicon">
    <w:name w:val="flagicon"/>
    <w:basedOn w:val="a0"/>
    <w:rsid w:val="00CD026B"/>
  </w:style>
  <w:style w:type="paragraph" w:styleId="a6">
    <w:name w:val="Balloon Text"/>
    <w:basedOn w:val="a"/>
    <w:link w:val="a7"/>
    <w:uiPriority w:val="99"/>
    <w:semiHidden/>
    <w:unhideWhenUsed/>
    <w:rsid w:val="00CD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0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02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02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02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D02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02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CD026B"/>
  </w:style>
  <w:style w:type="character" w:customStyle="1" w:styleId="mw-editsection">
    <w:name w:val="mw-editsection"/>
    <w:basedOn w:val="a0"/>
    <w:rsid w:val="00CD026B"/>
  </w:style>
  <w:style w:type="character" w:customStyle="1" w:styleId="mw-editsection-bracket">
    <w:name w:val="mw-editsection-bracket"/>
    <w:basedOn w:val="a0"/>
    <w:rsid w:val="00CD026B"/>
  </w:style>
  <w:style w:type="character" w:styleId="a4">
    <w:name w:val="FollowedHyperlink"/>
    <w:basedOn w:val="a0"/>
    <w:uiPriority w:val="99"/>
    <w:semiHidden/>
    <w:unhideWhenUsed/>
    <w:rsid w:val="00CD026B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CD026B"/>
  </w:style>
  <w:style w:type="paragraph" w:styleId="a5">
    <w:name w:val="Normal (Web)"/>
    <w:basedOn w:val="a"/>
    <w:uiPriority w:val="99"/>
    <w:semiHidden/>
    <w:unhideWhenUsed/>
    <w:rsid w:val="00CD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agicon">
    <w:name w:val="flagicon"/>
    <w:basedOn w:val="a0"/>
    <w:rsid w:val="00CD026B"/>
  </w:style>
  <w:style w:type="paragraph" w:styleId="a6">
    <w:name w:val="Balloon Text"/>
    <w:basedOn w:val="a"/>
    <w:link w:val="a7"/>
    <w:uiPriority w:val="99"/>
    <w:semiHidden/>
    <w:unhideWhenUsed/>
    <w:rsid w:val="00CD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0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2%92%D1%8B%D0%BB%D1%8B%D0%B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k.wikipedia.org/wiki/%D0%A5%D0%B0%D0%BB%D1%8B%D2%9B%D0%B0%D1%80%D0%B0%D0%BB%D1%8B%D2%9B_%D0%BE%D2%9B%D1%83%D1%88%D1%8B_%D2%9B%D0%B0%D0%B1%D1%96%D0%BB%D0%B5%D1%82%D1%96%D0%BD_%D0%B1%D0%B0%D2%93%D0%B0%D0%BB%D0%B0%D1%83_%D0%B1%D0%B0%D2%93%D0%B4%D0%B0%D1%80%D0%BB%D0%B0%D0%BC%D0%B0%D1%81%D1%8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A4%D1%80%D0%B0%D0%BD%D1%86%D1%83%D0%B7_%D1%82%D1%96%D0%BB%D1%9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k.wikipedia.org/wiki/%D0%AD%D0%BA%D1%81%D1%82%D1%80%D0%B0%D0%BF%D0%BE%D0%BB%D1%8F%D1%86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0%9E%D2%9B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2022-11-02T03:25:00Z</dcterms:created>
  <dcterms:modified xsi:type="dcterms:W3CDTF">2022-11-02T03:31:00Z</dcterms:modified>
</cp:coreProperties>
</file>